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EC9" w:rsidRPr="00A64DB5" w:rsidRDefault="00A26CD2" w:rsidP="00403198">
      <w:pPr>
        <w:adjustRightInd w:val="0"/>
        <w:snapToGrid w:val="0"/>
        <w:spacing w:beforeLines="50" w:before="180" w:line="360" w:lineRule="auto"/>
        <w:rPr>
          <w:rFonts w:ascii="Times New Roman" w:eastAsia="標楷體" w:hAnsi="Times New Roman"/>
          <w:sz w:val="30"/>
        </w:rPr>
      </w:pPr>
      <w:r w:rsidRPr="00A64DB5">
        <w:rPr>
          <w:rFonts w:ascii="Times New Roman" w:eastAsia="標楷體" w:hAnsi="標楷體" w:hint="eastAsia"/>
          <w:sz w:val="30"/>
        </w:rPr>
        <w:t>依著作權法第</w:t>
      </w:r>
      <w:r w:rsidRPr="00A64DB5">
        <w:rPr>
          <w:rFonts w:ascii="Times New Roman" w:eastAsia="標楷體" w:hAnsi="Times New Roman" w:hint="eastAsia"/>
          <w:sz w:val="30"/>
        </w:rPr>
        <w:t>3</w:t>
      </w:r>
      <w:r w:rsidRPr="00A64DB5">
        <w:rPr>
          <w:rFonts w:ascii="Times New Roman" w:eastAsia="標楷體" w:hAnsi="標楷體" w:hint="eastAsia"/>
          <w:sz w:val="30"/>
        </w:rPr>
        <w:t>條第</w:t>
      </w:r>
      <w:r w:rsidRPr="00A64DB5">
        <w:rPr>
          <w:rFonts w:ascii="Times New Roman" w:eastAsia="標楷體" w:hAnsi="Times New Roman" w:hint="eastAsia"/>
          <w:sz w:val="30"/>
        </w:rPr>
        <w:t>1</w:t>
      </w:r>
      <w:r w:rsidRPr="00A64DB5">
        <w:rPr>
          <w:rFonts w:ascii="Times New Roman" w:eastAsia="標楷體" w:hAnsi="標楷體" w:hint="eastAsia"/>
          <w:sz w:val="30"/>
        </w:rPr>
        <w:t>項第</w:t>
      </w:r>
      <w:r w:rsidRPr="00A64DB5">
        <w:rPr>
          <w:rFonts w:ascii="Times New Roman" w:eastAsia="標楷體" w:hAnsi="Times New Roman" w:hint="eastAsia"/>
          <w:sz w:val="30"/>
        </w:rPr>
        <w:t>7</w:t>
      </w:r>
      <w:r w:rsidRPr="00A64DB5">
        <w:rPr>
          <w:rFonts w:ascii="Times New Roman" w:eastAsia="標楷體" w:hAnsi="標楷體" w:hint="eastAsia"/>
          <w:sz w:val="30"/>
        </w:rPr>
        <w:t>款規定之公開播送定義，究應如何認定原播送（一次播送）與再播送</w:t>
      </w:r>
      <w:r w:rsidRPr="00A64DB5">
        <w:rPr>
          <w:rFonts w:ascii="Times New Roman" w:eastAsia="標楷體" w:hAnsi="Times New Roman" w:hint="eastAsia"/>
          <w:sz w:val="30"/>
        </w:rPr>
        <w:t>(</w:t>
      </w:r>
      <w:r w:rsidRPr="00A64DB5">
        <w:rPr>
          <w:rFonts w:ascii="Times New Roman" w:eastAsia="標楷體" w:hAnsi="標楷體" w:hint="eastAsia"/>
          <w:sz w:val="30"/>
        </w:rPr>
        <w:t>二次播送</w:t>
      </w:r>
      <w:r w:rsidRPr="00A64DB5">
        <w:rPr>
          <w:rFonts w:ascii="Times New Roman" w:eastAsia="標楷體" w:hAnsi="Times New Roman" w:hint="eastAsia"/>
          <w:sz w:val="30"/>
        </w:rPr>
        <w:t>)</w:t>
      </w:r>
      <w:r w:rsidRPr="00A64DB5">
        <w:rPr>
          <w:rFonts w:ascii="Times New Roman" w:eastAsia="標楷體" w:hAnsi="標楷體" w:hint="eastAsia"/>
          <w:sz w:val="30"/>
        </w:rPr>
        <w:t>？利用衛星將節目傳送至有線系統業者之行為，是否已屬原播送行為？抑或須傳送至公眾時始構成原播送之行為？</w:t>
      </w:r>
    </w:p>
    <w:p w:rsidR="00A26CD2" w:rsidRDefault="00A26CD2" w:rsidP="00403198">
      <w:pPr>
        <w:adjustRightInd w:val="0"/>
        <w:snapToGrid w:val="0"/>
        <w:spacing w:beforeLines="50" w:before="180" w:line="360" w:lineRule="auto"/>
        <w:rPr>
          <w:rFonts w:ascii="Times New Roman" w:eastAsia="標楷體" w:hAnsi="Times New Roman"/>
          <w:sz w:val="30"/>
        </w:rPr>
      </w:pPr>
      <w:bookmarkStart w:id="0" w:name="_GoBack"/>
      <w:bookmarkEnd w:id="0"/>
    </w:p>
    <w:p w:rsidR="00A64DB5" w:rsidRPr="00403198" w:rsidRDefault="00A64DB5" w:rsidP="00403198">
      <w:pPr>
        <w:adjustRightInd w:val="0"/>
        <w:snapToGrid w:val="0"/>
        <w:spacing w:beforeLines="50" w:before="180" w:line="360" w:lineRule="auto"/>
        <w:rPr>
          <w:rFonts w:ascii="Times New Roman" w:eastAsia="標楷體" w:hAnsi="Times New Roman"/>
          <w:b/>
          <w:sz w:val="30"/>
        </w:rPr>
      </w:pPr>
      <w:r w:rsidRPr="00403198">
        <w:rPr>
          <w:rFonts w:ascii="Times New Roman" w:eastAsia="標楷體" w:hAnsi="標楷體"/>
          <w:b/>
          <w:sz w:val="30"/>
        </w:rPr>
        <w:t>黃怡騰</w:t>
      </w:r>
      <w:r w:rsidRPr="00403198">
        <w:rPr>
          <w:rFonts w:ascii="Times New Roman" w:eastAsia="標楷體" w:hAnsi="標楷體" w:hint="eastAsia"/>
          <w:b/>
          <w:sz w:val="30"/>
        </w:rPr>
        <w:t>之意見</w:t>
      </w:r>
    </w:p>
    <w:p w:rsidR="00A64DB5" w:rsidRPr="00A64DB5" w:rsidRDefault="00A64DB5" w:rsidP="00403198">
      <w:pPr>
        <w:adjustRightInd w:val="0"/>
        <w:snapToGrid w:val="0"/>
        <w:spacing w:beforeLines="50" w:before="180" w:line="360" w:lineRule="auto"/>
        <w:rPr>
          <w:rFonts w:ascii="Times New Roman" w:eastAsia="標楷體" w:hAnsi="Times New Roman"/>
          <w:sz w:val="30"/>
        </w:rPr>
      </w:pPr>
    </w:p>
    <w:p w:rsidR="00A64DB5" w:rsidRPr="00A64DB5" w:rsidRDefault="00A26CD2" w:rsidP="00403198">
      <w:pPr>
        <w:pStyle w:val="a3"/>
        <w:numPr>
          <w:ilvl w:val="0"/>
          <w:numId w:val="2"/>
        </w:numPr>
        <w:adjustRightInd w:val="0"/>
        <w:snapToGrid w:val="0"/>
        <w:spacing w:beforeLines="50" w:before="180" w:line="360" w:lineRule="auto"/>
        <w:ind w:leftChars="0"/>
        <w:rPr>
          <w:rFonts w:ascii="Times New Roman" w:eastAsia="標楷體" w:hAnsi="標楷體"/>
          <w:sz w:val="30"/>
        </w:rPr>
      </w:pPr>
      <w:r w:rsidRPr="00A64DB5">
        <w:rPr>
          <w:rFonts w:ascii="Times New Roman" w:eastAsia="標楷體" w:hAnsi="標楷體" w:hint="eastAsia"/>
          <w:sz w:val="30"/>
        </w:rPr>
        <w:t>早在約十五年之前，筆者所接觸的美國著作權法學界的論文，即明白的指出，由頻道業者循「衛星上</w:t>
      </w:r>
      <w:proofErr w:type="gramStart"/>
      <w:r w:rsidRPr="00A64DB5">
        <w:rPr>
          <w:rFonts w:ascii="Times New Roman" w:eastAsia="標楷體" w:hAnsi="標楷體" w:hint="eastAsia"/>
          <w:sz w:val="30"/>
        </w:rPr>
        <w:t>鍊</w:t>
      </w:r>
      <w:proofErr w:type="gramEnd"/>
      <w:r w:rsidRPr="00A64DB5">
        <w:rPr>
          <w:rFonts w:ascii="Times New Roman" w:eastAsia="標楷體" w:hAnsi="標楷體" w:hint="eastAsia"/>
          <w:sz w:val="30"/>
        </w:rPr>
        <w:t>（</w:t>
      </w:r>
      <w:r w:rsidRPr="00A64DB5">
        <w:rPr>
          <w:rFonts w:ascii="Times New Roman" w:eastAsia="標楷體" w:hAnsi="Times New Roman" w:hint="eastAsia"/>
          <w:sz w:val="30"/>
        </w:rPr>
        <w:t>uplink</w:t>
      </w:r>
      <w:r w:rsidRPr="00A64DB5">
        <w:rPr>
          <w:rFonts w:ascii="Times New Roman" w:eastAsia="標楷體" w:hAnsi="標楷體" w:hint="eastAsia"/>
          <w:sz w:val="30"/>
        </w:rPr>
        <w:t>）」的方式，將電視節目打上衛星，並傳送到設置地面接收裝置的特定系統業者</w:t>
      </w:r>
      <w:r w:rsidR="00463BEA" w:rsidRPr="00A64DB5">
        <w:rPr>
          <w:rFonts w:ascii="Times New Roman" w:eastAsia="標楷體" w:hAnsi="標楷體" w:hint="eastAsia"/>
          <w:sz w:val="30"/>
        </w:rPr>
        <w:t>時</w:t>
      </w:r>
      <w:r w:rsidRPr="00A64DB5">
        <w:rPr>
          <w:rFonts w:ascii="Times New Roman" w:eastAsia="標楷體" w:hAnsi="標楷體" w:hint="eastAsia"/>
          <w:sz w:val="30"/>
        </w:rPr>
        <w:t>，其所傳送者，</w:t>
      </w:r>
      <w:r w:rsidR="00463BEA" w:rsidRPr="00A64DB5">
        <w:rPr>
          <w:rFonts w:ascii="Times New Roman" w:eastAsia="標楷體" w:hAnsi="標楷體" w:hint="eastAsia"/>
          <w:sz w:val="30"/>
        </w:rPr>
        <w:t>僅</w:t>
      </w:r>
      <w:r w:rsidRPr="00A64DB5">
        <w:rPr>
          <w:rFonts w:ascii="Times New Roman" w:eastAsia="標楷體" w:hAnsi="標楷體" w:hint="eastAsia"/>
          <w:sz w:val="30"/>
        </w:rPr>
        <w:t>係「訊號</w:t>
      </w:r>
      <w:r w:rsidR="00463BEA" w:rsidRPr="00A64DB5">
        <w:rPr>
          <w:rFonts w:ascii="Times New Roman" w:eastAsia="標楷體" w:hAnsi="標楷體" w:hint="eastAsia"/>
          <w:sz w:val="30"/>
        </w:rPr>
        <w:t>」</w:t>
      </w:r>
      <w:r w:rsidRPr="00A64DB5">
        <w:rPr>
          <w:rFonts w:ascii="Times New Roman" w:eastAsia="標楷體" w:hAnsi="標楷體" w:hint="eastAsia"/>
          <w:sz w:val="30"/>
        </w:rPr>
        <w:t>（</w:t>
      </w:r>
      <w:r w:rsidRPr="00A64DB5">
        <w:rPr>
          <w:rFonts w:ascii="Times New Roman" w:eastAsia="標楷體" w:hAnsi="Times New Roman" w:hint="eastAsia"/>
          <w:sz w:val="30"/>
        </w:rPr>
        <w:t>signal</w:t>
      </w:r>
      <w:r w:rsidRPr="00A64DB5">
        <w:rPr>
          <w:rFonts w:ascii="Times New Roman" w:eastAsia="標楷體" w:hAnsi="標楷體"/>
          <w:sz w:val="30"/>
        </w:rPr>
        <w:t>）</w:t>
      </w:r>
      <w:r w:rsidR="00463BEA" w:rsidRPr="00A64DB5">
        <w:rPr>
          <w:rFonts w:ascii="Times New Roman" w:eastAsia="標楷體" w:hAnsi="標楷體"/>
          <w:sz w:val="30"/>
        </w:rPr>
        <w:t>而已</w:t>
      </w:r>
      <w:r w:rsidRPr="00A64DB5">
        <w:rPr>
          <w:rFonts w:ascii="Times New Roman" w:eastAsia="標楷體" w:hAnsi="標楷體" w:hint="eastAsia"/>
          <w:sz w:val="30"/>
        </w:rPr>
        <w:t>，並非「節目」</w:t>
      </w:r>
      <w:r w:rsidR="00463BEA" w:rsidRPr="00A64DB5">
        <w:rPr>
          <w:rFonts w:ascii="Times New Roman" w:eastAsia="標楷體" w:hAnsi="標楷體" w:hint="eastAsia"/>
          <w:sz w:val="30"/>
        </w:rPr>
        <w:t>。此一傳送過程，並不發生其法律</w:t>
      </w:r>
      <w:r w:rsidRPr="00A64DB5">
        <w:rPr>
          <w:rFonts w:ascii="Times New Roman" w:eastAsia="標楷體" w:hAnsi="標楷體" w:hint="eastAsia"/>
          <w:sz w:val="30"/>
        </w:rPr>
        <w:t>性質</w:t>
      </w:r>
      <w:r w:rsidR="00463BEA" w:rsidRPr="00A64DB5">
        <w:rPr>
          <w:rFonts w:ascii="Times New Roman" w:eastAsia="標楷體" w:hAnsi="標楷體" w:hint="eastAsia"/>
          <w:sz w:val="30"/>
        </w:rPr>
        <w:t>是否屬於著作權法上之「播送」問題。故而，在此之後由接收到訊號的系統業者，以其自身的機器，將訊號轉換成「可以播送的節目」，並以有線或無線方式，傳送或傳輸給終端閱聽人（</w:t>
      </w:r>
      <w:r w:rsidR="00463BEA" w:rsidRPr="00A64DB5">
        <w:rPr>
          <w:rFonts w:ascii="Times New Roman" w:eastAsia="標楷體" w:hAnsi="Times New Roman" w:hint="eastAsia"/>
          <w:sz w:val="30"/>
        </w:rPr>
        <w:t>viewers or listeners</w:t>
      </w:r>
      <w:r w:rsidR="00463BEA" w:rsidRPr="00A64DB5">
        <w:rPr>
          <w:rFonts w:ascii="Times New Roman" w:eastAsia="標楷體" w:hAnsi="標楷體" w:hint="eastAsia"/>
          <w:sz w:val="30"/>
        </w:rPr>
        <w:t>）或</w:t>
      </w:r>
      <w:r w:rsidR="003704A9" w:rsidRPr="00A64DB5">
        <w:rPr>
          <w:rFonts w:ascii="Times New Roman" w:eastAsia="標楷體" w:hAnsi="標楷體" w:hint="eastAsia"/>
          <w:sz w:val="30"/>
        </w:rPr>
        <w:t>節目</w:t>
      </w:r>
      <w:r w:rsidR="00463BEA" w:rsidRPr="00A64DB5">
        <w:rPr>
          <w:rFonts w:ascii="Times New Roman" w:eastAsia="標楷體" w:hAnsi="標楷體" w:hint="eastAsia"/>
          <w:sz w:val="30"/>
        </w:rPr>
        <w:t>訂戶（</w:t>
      </w:r>
      <w:r w:rsidR="003704A9" w:rsidRPr="00A64DB5">
        <w:rPr>
          <w:rFonts w:ascii="Times New Roman" w:eastAsia="標楷體" w:hAnsi="Times New Roman" w:hint="eastAsia"/>
          <w:sz w:val="30"/>
        </w:rPr>
        <w:t xml:space="preserve">program </w:t>
      </w:r>
      <w:r w:rsidR="00463BEA" w:rsidRPr="00A64DB5">
        <w:rPr>
          <w:rFonts w:ascii="Times New Roman" w:eastAsia="標楷體" w:hAnsi="Times New Roman" w:hint="eastAsia"/>
          <w:sz w:val="30"/>
        </w:rPr>
        <w:t>subscribers</w:t>
      </w:r>
      <w:r w:rsidR="00463BEA" w:rsidRPr="00A64DB5">
        <w:rPr>
          <w:rFonts w:ascii="Times New Roman" w:eastAsia="標楷體" w:hAnsi="標楷體" w:hint="eastAsia"/>
          <w:sz w:val="30"/>
        </w:rPr>
        <w:t>）的行為，方屬著作權法</w:t>
      </w:r>
      <w:r w:rsidR="003704A9" w:rsidRPr="00A64DB5">
        <w:rPr>
          <w:rFonts w:ascii="Times New Roman" w:eastAsia="標楷體" w:hAnsi="標楷體" w:hint="eastAsia"/>
          <w:sz w:val="30"/>
        </w:rPr>
        <w:t>所指</w:t>
      </w:r>
      <w:r w:rsidR="00463BEA" w:rsidRPr="00A64DB5">
        <w:rPr>
          <w:rFonts w:ascii="Times New Roman" w:eastAsia="標楷體" w:hAnsi="標楷體" w:hint="eastAsia"/>
          <w:sz w:val="30"/>
        </w:rPr>
        <w:t>上之播送或傳輸行為。</w:t>
      </w:r>
    </w:p>
    <w:p w:rsidR="00A64DB5" w:rsidRPr="00A64DB5" w:rsidRDefault="00463BEA" w:rsidP="00403198">
      <w:pPr>
        <w:pStyle w:val="a3"/>
        <w:numPr>
          <w:ilvl w:val="0"/>
          <w:numId w:val="2"/>
        </w:numPr>
        <w:adjustRightInd w:val="0"/>
        <w:snapToGrid w:val="0"/>
        <w:spacing w:beforeLines="50" w:before="180" w:line="360" w:lineRule="auto"/>
        <w:ind w:leftChars="0"/>
        <w:rPr>
          <w:rFonts w:ascii="Times New Roman" w:eastAsia="標楷體" w:hAnsi="Times New Roman"/>
          <w:sz w:val="30"/>
        </w:rPr>
      </w:pPr>
      <w:r w:rsidRPr="00A64DB5">
        <w:rPr>
          <w:rFonts w:ascii="Times New Roman" w:eastAsia="標楷體" w:hAnsi="標楷體" w:hint="eastAsia"/>
          <w:sz w:val="30"/>
        </w:rPr>
        <w:t>承上，我個人進一步認為：上開</w:t>
      </w:r>
      <w:r w:rsidR="003704A9" w:rsidRPr="00A64DB5">
        <w:rPr>
          <w:rFonts w:ascii="Times New Roman" w:eastAsia="標楷體" w:hAnsi="標楷體" w:hint="eastAsia"/>
          <w:sz w:val="30"/>
        </w:rPr>
        <w:t>所指之前段</w:t>
      </w:r>
      <w:r w:rsidRPr="00A64DB5">
        <w:rPr>
          <w:rFonts w:ascii="Times New Roman" w:eastAsia="標楷體" w:hAnsi="標楷體" w:hint="eastAsia"/>
          <w:sz w:val="30"/>
        </w:rPr>
        <w:t>傳送行為，</w:t>
      </w:r>
      <w:r w:rsidR="003704A9" w:rsidRPr="00A64DB5">
        <w:rPr>
          <w:rFonts w:ascii="Times New Roman" w:eastAsia="標楷體" w:hAnsi="標楷體" w:hint="eastAsia"/>
          <w:sz w:val="30"/>
        </w:rPr>
        <w:t>乃</w:t>
      </w:r>
      <w:r w:rsidRPr="00A64DB5">
        <w:rPr>
          <w:rFonts w:ascii="Times New Roman" w:eastAsia="標楷體" w:hAnsi="標楷體" w:hint="eastAsia"/>
          <w:sz w:val="30"/>
        </w:rPr>
        <w:t>屬</w:t>
      </w:r>
      <w:r w:rsidR="003704A9" w:rsidRPr="00A64DB5">
        <w:rPr>
          <w:rFonts w:ascii="Times New Roman" w:eastAsia="標楷體" w:hAnsi="標楷體" w:hint="eastAsia"/>
          <w:sz w:val="30"/>
        </w:rPr>
        <w:t>「</w:t>
      </w:r>
      <w:r w:rsidRPr="00A64DB5">
        <w:rPr>
          <w:rFonts w:ascii="Times New Roman" w:eastAsia="標楷體" w:hAnsi="Times New Roman" w:hint="eastAsia"/>
          <w:sz w:val="30"/>
        </w:rPr>
        <w:t>B2B</w:t>
      </w:r>
      <w:r w:rsidR="003704A9" w:rsidRPr="00A64DB5">
        <w:rPr>
          <w:rFonts w:ascii="Times New Roman" w:eastAsia="標楷體" w:hAnsi="標楷體" w:hint="eastAsia"/>
          <w:sz w:val="30"/>
        </w:rPr>
        <w:t>」</w:t>
      </w:r>
      <w:r w:rsidRPr="00A64DB5">
        <w:rPr>
          <w:rFonts w:ascii="Times New Roman" w:eastAsia="標楷體" w:hAnsi="標楷體" w:hint="eastAsia"/>
          <w:sz w:val="30"/>
        </w:rPr>
        <w:t>（</w:t>
      </w:r>
      <w:r w:rsidRPr="00A64DB5">
        <w:rPr>
          <w:rFonts w:ascii="Times New Roman" w:eastAsia="標楷體" w:hAnsi="Times New Roman" w:hint="eastAsia"/>
          <w:sz w:val="30"/>
        </w:rPr>
        <w:t>Business to business</w:t>
      </w:r>
      <w:r w:rsidRPr="00A64DB5">
        <w:rPr>
          <w:rFonts w:ascii="Times New Roman" w:eastAsia="標楷體" w:hAnsi="標楷體" w:hint="eastAsia"/>
          <w:sz w:val="30"/>
        </w:rPr>
        <w:t>）</w:t>
      </w:r>
      <w:r w:rsidR="003704A9" w:rsidRPr="00A64DB5">
        <w:rPr>
          <w:rFonts w:ascii="Times New Roman" w:eastAsia="標楷體" w:hAnsi="標楷體" w:hint="eastAsia"/>
          <w:sz w:val="30"/>
        </w:rPr>
        <w:t>模式下之</w:t>
      </w:r>
      <w:r w:rsidRPr="00A64DB5">
        <w:rPr>
          <w:rFonts w:ascii="Times New Roman" w:eastAsia="標楷體" w:hAnsi="標楷體" w:hint="eastAsia"/>
          <w:sz w:val="30"/>
        </w:rPr>
        <w:t>「交付行為」，</w:t>
      </w:r>
      <w:r w:rsidR="003704A9" w:rsidRPr="00A64DB5">
        <w:rPr>
          <w:rFonts w:ascii="Times New Roman" w:eastAsia="標楷體" w:hAnsi="標楷體" w:hint="eastAsia"/>
          <w:sz w:val="30"/>
        </w:rPr>
        <w:t>而其後，由系統業者</w:t>
      </w:r>
      <w:r w:rsidRPr="00A64DB5">
        <w:rPr>
          <w:rFonts w:ascii="Times New Roman" w:eastAsia="標楷體" w:hAnsi="標楷體" w:hint="eastAsia"/>
          <w:sz w:val="30"/>
        </w:rPr>
        <w:t>接受（收）</w:t>
      </w:r>
      <w:r w:rsidR="003704A9" w:rsidRPr="00A64DB5">
        <w:rPr>
          <w:rFonts w:ascii="Times New Roman" w:eastAsia="標楷體" w:hAnsi="標楷體" w:hint="eastAsia"/>
          <w:sz w:val="30"/>
        </w:rPr>
        <w:t>訊號之後</w:t>
      </w:r>
      <w:r w:rsidRPr="00A64DB5">
        <w:rPr>
          <w:rFonts w:ascii="Times New Roman" w:eastAsia="標楷體" w:hAnsi="標楷體" w:hint="eastAsia"/>
          <w:sz w:val="30"/>
        </w:rPr>
        <w:t>，</w:t>
      </w:r>
      <w:r w:rsidR="003704A9" w:rsidRPr="00A64DB5">
        <w:rPr>
          <w:rFonts w:ascii="Times New Roman" w:eastAsia="標楷體" w:hAnsi="標楷體" w:hint="eastAsia"/>
          <w:sz w:val="30"/>
        </w:rPr>
        <w:t>若再以無線或有線方式，向</w:t>
      </w:r>
      <w:proofErr w:type="gramStart"/>
      <w:r w:rsidR="003704A9" w:rsidRPr="00A64DB5">
        <w:rPr>
          <w:rFonts w:ascii="Times New Roman" w:eastAsia="標楷體" w:hAnsi="標楷體" w:hint="eastAsia"/>
          <w:sz w:val="30"/>
        </w:rPr>
        <w:t>最終閱</w:t>
      </w:r>
      <w:proofErr w:type="gramEnd"/>
      <w:r w:rsidR="003704A9" w:rsidRPr="00A64DB5">
        <w:rPr>
          <w:rFonts w:ascii="Times New Roman" w:eastAsia="標楷體" w:hAnsi="標楷體" w:hint="eastAsia"/>
          <w:sz w:val="30"/>
        </w:rPr>
        <w:t>聽人</w:t>
      </w:r>
      <w:r w:rsidRPr="00A64DB5">
        <w:rPr>
          <w:rFonts w:ascii="Times New Roman" w:eastAsia="標楷體" w:hAnsi="標楷體" w:hint="eastAsia"/>
          <w:sz w:val="30"/>
        </w:rPr>
        <w:t>播送或傳輸</w:t>
      </w:r>
      <w:r w:rsidR="003704A9" w:rsidRPr="00A64DB5">
        <w:rPr>
          <w:rFonts w:ascii="Times New Roman" w:eastAsia="標楷體" w:hAnsi="標楷體" w:hint="eastAsia"/>
          <w:sz w:val="30"/>
        </w:rPr>
        <w:t>約定節目時，則屬「</w:t>
      </w:r>
      <w:r w:rsidR="003704A9" w:rsidRPr="00A64DB5">
        <w:rPr>
          <w:rFonts w:ascii="Times New Roman" w:eastAsia="標楷體" w:hAnsi="Times New Roman" w:hint="eastAsia"/>
          <w:sz w:val="30"/>
        </w:rPr>
        <w:t>B2P</w:t>
      </w:r>
      <w:r w:rsidR="003704A9" w:rsidRPr="00A64DB5">
        <w:rPr>
          <w:rFonts w:ascii="Times New Roman" w:eastAsia="標楷體" w:hAnsi="標楷體"/>
          <w:sz w:val="30"/>
        </w:rPr>
        <w:t>」</w:t>
      </w:r>
      <w:r w:rsidR="003704A9" w:rsidRPr="00A64DB5">
        <w:rPr>
          <w:rFonts w:ascii="Times New Roman" w:eastAsia="標楷體" w:hAnsi="標楷體" w:hint="eastAsia"/>
          <w:sz w:val="30"/>
        </w:rPr>
        <w:lastRenderedPageBreak/>
        <w:t>（</w:t>
      </w:r>
      <w:r w:rsidR="003704A9" w:rsidRPr="00A64DB5">
        <w:rPr>
          <w:rFonts w:ascii="Times New Roman" w:eastAsia="標楷體" w:hAnsi="Times New Roman" w:hint="eastAsia"/>
          <w:sz w:val="30"/>
        </w:rPr>
        <w:t>business to person</w:t>
      </w:r>
      <w:r w:rsidR="003704A9" w:rsidRPr="00A64DB5">
        <w:rPr>
          <w:rFonts w:ascii="Times New Roman" w:eastAsia="標楷體" w:hAnsi="標楷體"/>
          <w:sz w:val="30"/>
        </w:rPr>
        <w:t>）模式</w:t>
      </w:r>
      <w:r w:rsidR="003704A9" w:rsidRPr="00A64DB5">
        <w:rPr>
          <w:rFonts w:ascii="Times New Roman" w:eastAsia="標楷體" w:hAnsi="標楷體" w:hint="eastAsia"/>
          <w:sz w:val="30"/>
        </w:rPr>
        <w:t>，此時應為「原播送（傳輸）」。而若於接受系統業者傳送節目時，再以</w:t>
      </w:r>
      <w:r w:rsidR="00A64DB5" w:rsidRPr="00A64DB5">
        <w:rPr>
          <w:rFonts w:ascii="Times New Roman" w:eastAsia="標楷體" w:hAnsi="標楷體" w:hint="eastAsia"/>
          <w:sz w:val="30"/>
        </w:rPr>
        <w:t>其他</w:t>
      </w:r>
      <w:r w:rsidR="003704A9" w:rsidRPr="00A64DB5">
        <w:rPr>
          <w:rFonts w:ascii="Times New Roman" w:eastAsia="標楷體" w:hAnsi="標楷體" w:hint="eastAsia"/>
          <w:sz w:val="30"/>
        </w:rPr>
        <w:t>設施</w:t>
      </w:r>
      <w:r w:rsidR="00A64DB5" w:rsidRPr="00A64DB5">
        <w:rPr>
          <w:rFonts w:ascii="Times New Roman" w:eastAsia="標楷體" w:hAnsi="標楷體" w:hint="eastAsia"/>
          <w:sz w:val="30"/>
        </w:rPr>
        <w:t>（例如旅館中之閉路電視系統或廣播器）</w:t>
      </w:r>
      <w:r w:rsidR="003704A9" w:rsidRPr="00A64DB5">
        <w:rPr>
          <w:rFonts w:ascii="Times New Roman" w:eastAsia="標楷體" w:hAnsi="標楷體" w:hint="eastAsia"/>
          <w:sz w:val="30"/>
        </w:rPr>
        <w:t>，同步</w:t>
      </w:r>
      <w:r w:rsidR="00A64DB5" w:rsidRPr="00A64DB5">
        <w:rPr>
          <w:rFonts w:ascii="Times New Roman" w:eastAsia="標楷體" w:hAnsi="標楷體" w:hint="eastAsia"/>
          <w:sz w:val="30"/>
        </w:rPr>
        <w:t>向他人為傳播或傳輸時，此一階段方始屬於「再播送（再傳輸）」。</w:t>
      </w:r>
    </w:p>
    <w:p w:rsidR="00A64DB5" w:rsidRPr="00A64DB5" w:rsidRDefault="00A64DB5" w:rsidP="00403198">
      <w:pPr>
        <w:pStyle w:val="a3"/>
        <w:numPr>
          <w:ilvl w:val="0"/>
          <w:numId w:val="2"/>
        </w:numPr>
        <w:adjustRightInd w:val="0"/>
        <w:snapToGrid w:val="0"/>
        <w:spacing w:beforeLines="50" w:before="180" w:line="360" w:lineRule="auto"/>
        <w:ind w:leftChars="0"/>
        <w:rPr>
          <w:rFonts w:ascii="Times New Roman" w:eastAsia="標楷體" w:hAnsi="Times New Roman"/>
          <w:sz w:val="30"/>
        </w:rPr>
      </w:pPr>
      <w:r w:rsidRPr="00A64DB5">
        <w:rPr>
          <w:rFonts w:ascii="Times New Roman" w:eastAsia="標楷體" w:hAnsi="標楷體"/>
          <w:sz w:val="30"/>
        </w:rPr>
        <w:t>故而對於本日會議議案一，</w:t>
      </w:r>
      <w:r>
        <w:rPr>
          <w:rFonts w:ascii="Times New Roman" w:eastAsia="標楷體" w:hAnsi="標楷體"/>
          <w:sz w:val="30"/>
        </w:rPr>
        <w:t>個人</w:t>
      </w:r>
      <w:r w:rsidRPr="00A64DB5">
        <w:rPr>
          <w:rFonts w:ascii="Times New Roman" w:eastAsia="標楷體" w:hAnsi="標楷體"/>
          <w:sz w:val="30"/>
        </w:rPr>
        <w:t>淺見認為：「必</w:t>
      </w:r>
      <w:r w:rsidRPr="00A64DB5">
        <w:rPr>
          <w:rFonts w:ascii="Times New Roman" w:eastAsia="標楷體" w:hAnsi="標楷體" w:hint="eastAsia"/>
          <w:sz w:val="30"/>
        </w:rPr>
        <w:t>須傳送至公眾時，始構成原播送之行為」。敬請指教。</w:t>
      </w:r>
    </w:p>
    <w:p w:rsidR="00463BEA" w:rsidRDefault="00463BEA" w:rsidP="00403198">
      <w:pPr>
        <w:pStyle w:val="a3"/>
        <w:adjustRightInd w:val="0"/>
        <w:snapToGrid w:val="0"/>
        <w:spacing w:beforeLines="50" w:before="180" w:line="360" w:lineRule="auto"/>
        <w:ind w:leftChars="0" w:left="0"/>
        <w:rPr>
          <w:rFonts w:ascii="Times New Roman" w:hAnsi="Times New Roman"/>
          <w:sz w:val="30"/>
        </w:rPr>
      </w:pPr>
    </w:p>
    <w:p w:rsidR="00A64DB5" w:rsidRPr="00A64DB5" w:rsidRDefault="00A64DB5" w:rsidP="00710097">
      <w:pPr>
        <w:pStyle w:val="a3"/>
        <w:adjustRightInd w:val="0"/>
        <w:snapToGrid w:val="0"/>
        <w:spacing w:beforeLines="50" w:before="180" w:line="360" w:lineRule="auto"/>
        <w:ind w:leftChars="0" w:left="0"/>
        <w:rPr>
          <w:rFonts w:ascii="Times New Roman" w:hAnsi="Times New Roman"/>
          <w:sz w:val="30"/>
        </w:rPr>
      </w:pPr>
      <w:r>
        <w:rPr>
          <w:rFonts w:ascii="Times New Roman" w:hAnsi="Times New Roman" w:hint="eastAsia"/>
          <w:sz w:val="30"/>
        </w:rPr>
        <w:t>101/08/16</w:t>
      </w:r>
    </w:p>
    <w:sectPr w:rsidR="00A64DB5" w:rsidRPr="00A64DB5" w:rsidSect="00711EC9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381" w:rsidRDefault="00C91381" w:rsidP="00403198">
      <w:r>
        <w:separator/>
      </w:r>
    </w:p>
  </w:endnote>
  <w:endnote w:type="continuationSeparator" w:id="0">
    <w:p w:rsidR="00C91381" w:rsidRDefault="00C91381" w:rsidP="0040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8432184"/>
      <w:docPartObj>
        <w:docPartGallery w:val="Page Numbers (Bottom of Page)"/>
        <w:docPartUnique/>
      </w:docPartObj>
    </w:sdtPr>
    <w:sdtContent>
      <w:p w:rsidR="00403198" w:rsidRDefault="00403198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1413" w:rsidRPr="007F1413">
          <w:rPr>
            <w:noProof/>
            <w:lang w:val="zh-TW"/>
          </w:rPr>
          <w:t>1</w:t>
        </w:r>
        <w:r>
          <w:fldChar w:fldCharType="end"/>
        </w:r>
      </w:p>
    </w:sdtContent>
  </w:sdt>
  <w:p w:rsidR="00403198" w:rsidRDefault="0040319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381" w:rsidRDefault="00C91381" w:rsidP="00403198">
      <w:r>
        <w:separator/>
      </w:r>
    </w:p>
  </w:footnote>
  <w:footnote w:type="continuationSeparator" w:id="0">
    <w:p w:rsidR="00C91381" w:rsidRDefault="00C91381" w:rsidP="004031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607219"/>
    <w:multiLevelType w:val="hybridMultilevel"/>
    <w:tmpl w:val="839EE95E"/>
    <w:lvl w:ilvl="0" w:tplc="02DE5828">
      <w:start w:val="1"/>
      <w:numFmt w:val="taiwaneseCountingThousand"/>
      <w:lvlText w:val="%1、"/>
      <w:lvlJc w:val="left"/>
      <w:pPr>
        <w:ind w:left="54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22C0198"/>
    <w:multiLevelType w:val="hybridMultilevel"/>
    <w:tmpl w:val="56B251A6"/>
    <w:lvl w:ilvl="0" w:tplc="53B82A4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26CD2"/>
    <w:rsid w:val="003704A9"/>
    <w:rsid w:val="00403198"/>
    <w:rsid w:val="00463BEA"/>
    <w:rsid w:val="00710097"/>
    <w:rsid w:val="00711EC9"/>
    <w:rsid w:val="007F1413"/>
    <w:rsid w:val="00A26CD2"/>
    <w:rsid w:val="00A64DB5"/>
    <w:rsid w:val="00C91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EC9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3BEA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4031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0319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031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03198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403198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403198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F93"/>
    <w:rsid w:val="00563F93"/>
    <w:rsid w:val="0081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2698A95D46C45D6B7EE66FCC7AF034D">
    <w:name w:val="32698A95D46C45D6B7EE66FCC7AF034D"/>
    <w:rsid w:val="00563F93"/>
    <w:pPr>
      <w:widowControl w:val="0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2698A95D46C45D6B7EE66FCC7AF034D">
    <w:name w:val="32698A95D46C45D6B7EE66FCC7AF034D"/>
    <w:rsid w:val="00563F93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44F4D-F755-4B0E-AFA8-3898888DD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2</Pages>
  <Words>101</Words>
  <Characters>580</Characters>
  <Application>Microsoft Office Word</Application>
  <DocSecurity>0</DocSecurity>
  <Lines>4</Lines>
  <Paragraphs>1</Paragraphs>
  <ScaleCrop>false</ScaleCrop>
  <Company>C.M.T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00533</cp:lastModifiedBy>
  <cp:revision>2</cp:revision>
  <cp:lastPrinted>2012-08-17T01:07:00Z</cp:lastPrinted>
  <dcterms:created xsi:type="dcterms:W3CDTF">2012-08-16T12:54:00Z</dcterms:created>
  <dcterms:modified xsi:type="dcterms:W3CDTF">2012-08-17T07:15:00Z</dcterms:modified>
</cp:coreProperties>
</file>